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Nicotine-Free Generation (NFG) Overview</w:t>
      </w:r>
      <w:r>
        <w:rPr>
          <w:rFonts w:ascii="Times New Roman" w:eastAsia="Times New Roman" w:hAnsi="Times New Roman" w:cs="Times New Roman"/>
          <w:sz w:val="21"/>
          <w:szCs w:val="21"/>
        </w:rPr>
        <w:t xml:space="preserve">   </w:t>
      </w:r>
    </w:p>
    <w:p w14:paraId="00000002"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0000003"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 xml:space="preserve">What is Nicotine: </w:t>
      </w:r>
      <w:r>
        <w:rPr>
          <w:rFonts w:ascii="Times New Roman" w:eastAsia="Times New Roman" w:hAnsi="Times New Roman" w:cs="Times New Roman"/>
          <w:sz w:val="21"/>
          <w:szCs w:val="21"/>
        </w:rPr>
        <w:t xml:space="preserve">   </w:t>
      </w:r>
    </w:p>
    <w:p w14:paraId="00000004" w14:textId="77777777" w:rsidR="00A14AB1" w:rsidRDefault="001F1FDE">
      <w:pPr>
        <w:shd w:val="clear" w:color="auto" w:fill="FFFFFF"/>
        <w:rPr>
          <w:rFonts w:ascii="Times New Roman" w:eastAsia="Times New Roman" w:hAnsi="Times New Roman" w:cs="Times New Roman"/>
          <w:color w:val="D13438"/>
          <w:sz w:val="21"/>
          <w:szCs w:val="21"/>
        </w:rPr>
      </w:pPr>
      <w:r>
        <w:rPr>
          <w:rFonts w:ascii="Times New Roman" w:eastAsia="Times New Roman" w:hAnsi="Times New Roman" w:cs="Times New Roman"/>
          <w:sz w:val="21"/>
          <w:szCs w:val="21"/>
        </w:rPr>
        <w:t xml:space="preserve">The term nicotine includes all tobacco and synthetically derived nicotine products such as vapes or e-cigarettes, cigarettes, cigars, chew, and pouches. </w:t>
      </w:r>
      <w:r>
        <w:rPr>
          <w:rFonts w:ascii="Times New Roman" w:eastAsia="Times New Roman" w:hAnsi="Times New Roman" w:cs="Times New Roman"/>
          <w:color w:val="D13438"/>
          <w:sz w:val="21"/>
          <w:szCs w:val="21"/>
        </w:rPr>
        <w:t xml:space="preserve">   </w:t>
      </w:r>
    </w:p>
    <w:p w14:paraId="00000005"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0000006"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The Problem:</w:t>
      </w:r>
      <w:r>
        <w:rPr>
          <w:rFonts w:ascii="Times New Roman" w:eastAsia="Times New Roman" w:hAnsi="Times New Roman" w:cs="Times New Roman"/>
          <w:sz w:val="21"/>
          <w:szCs w:val="21"/>
        </w:rPr>
        <w:t xml:space="preserve">   </w:t>
      </w:r>
    </w:p>
    <w:p w14:paraId="00000007"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Nicotine containing tobacco products remain the single greatest cause of addiction and death in Massachusetts with over 9,000 deaths each year,</w:t>
      </w:r>
      <w:r>
        <w:rPr>
          <w:rFonts w:ascii="Times New Roman" w:eastAsia="Times New Roman" w:hAnsi="Times New Roman" w:cs="Times New Roman"/>
          <w:sz w:val="26"/>
          <w:szCs w:val="26"/>
          <w:vertAlign w:val="superscript"/>
        </w:rPr>
        <w:t>I</w:t>
      </w:r>
      <w:r>
        <w:rPr>
          <w:rFonts w:ascii="Times New Roman" w:eastAsia="Times New Roman" w:hAnsi="Times New Roman" w:cs="Times New Roman"/>
          <w:sz w:val="21"/>
          <w:szCs w:val="21"/>
        </w:rPr>
        <w:t xml:space="preserve"> more than three times the number of deaths from the state’s opioid crisis. Tobacco</w:t>
      </w:r>
      <w:hyperlink r:id="rId7">
        <w:r>
          <w:rPr>
            <w:rFonts w:ascii="Times New Roman" w:eastAsia="Times New Roman" w:hAnsi="Times New Roman" w:cs="Times New Roman"/>
            <w:sz w:val="21"/>
            <w:szCs w:val="21"/>
          </w:rPr>
          <w:t xml:space="preserve"> kills one-half of its users</w:t>
        </w:r>
      </w:hyperlink>
      <w:r>
        <w:rPr>
          <w:rFonts w:ascii="Times New Roman" w:eastAsia="Times New Roman" w:hAnsi="Times New Roman" w:cs="Times New Roman"/>
          <w:sz w:val="21"/>
          <w:szCs w:val="21"/>
        </w:rPr>
        <w:t>,</w:t>
      </w:r>
      <w:r>
        <w:rPr>
          <w:rFonts w:ascii="Times New Roman" w:eastAsia="Times New Roman" w:hAnsi="Times New Roman" w:cs="Times New Roman"/>
          <w:sz w:val="26"/>
          <w:szCs w:val="26"/>
          <w:vertAlign w:val="superscript"/>
        </w:rPr>
        <w:t>II</w:t>
      </w:r>
      <w:r>
        <w:rPr>
          <w:rFonts w:ascii="Times New Roman" w:eastAsia="Times New Roman" w:hAnsi="Times New Roman" w:cs="Times New Roman"/>
          <w:sz w:val="21"/>
          <w:szCs w:val="21"/>
        </w:rPr>
        <w:t xml:space="preserve"> accoun</w:t>
      </w:r>
      <w:r>
        <w:rPr>
          <w:rFonts w:ascii="Times New Roman" w:eastAsia="Times New Roman" w:hAnsi="Times New Roman" w:cs="Times New Roman"/>
          <w:color w:val="202124"/>
          <w:sz w:val="21"/>
          <w:szCs w:val="21"/>
        </w:rPr>
        <w:t>ting for</w:t>
      </w:r>
      <w:hyperlink r:id="rId8" w:anchor=":~:text=Cigarette%20smoking%20causes%20more%20than,nearly%20one%20in%20five%20deaths.&amp;text=Smoking%20causes%20more%20deaths%20each%20year%20than%20the%20following%20causes%20combined%3A&amp;text=Human%20immunodeficiency%20virus%20(HIV)">
        <w:r>
          <w:rPr>
            <w:rFonts w:ascii="Times New Roman" w:eastAsia="Times New Roman" w:hAnsi="Times New Roman" w:cs="Times New Roman"/>
            <w:color w:val="202124"/>
            <w:sz w:val="21"/>
            <w:szCs w:val="21"/>
          </w:rPr>
          <w:t xml:space="preserve"> 1 out of every 5 deaths</w:t>
        </w:r>
      </w:hyperlink>
      <w:r>
        <w:rPr>
          <w:rFonts w:ascii="Times New Roman" w:eastAsia="Times New Roman" w:hAnsi="Times New Roman" w:cs="Times New Roman"/>
          <w:sz w:val="21"/>
          <w:szCs w:val="21"/>
        </w:rPr>
        <w:t xml:space="preserve"> in the US.</w:t>
      </w:r>
      <w:r>
        <w:rPr>
          <w:rFonts w:ascii="Times New Roman" w:eastAsia="Times New Roman" w:hAnsi="Times New Roman" w:cs="Times New Roman"/>
          <w:sz w:val="26"/>
          <w:szCs w:val="26"/>
          <w:vertAlign w:val="superscript"/>
        </w:rPr>
        <w:t>III</w:t>
      </w:r>
      <w:r>
        <w:rPr>
          <w:rFonts w:ascii="Times New Roman" w:eastAsia="Times New Roman" w:hAnsi="Times New Roman" w:cs="Times New Roman"/>
          <w:sz w:val="21"/>
          <w:szCs w:val="21"/>
        </w:rPr>
        <w:t xml:space="preserve"> Despite decades of control efforts, the tobacco industry continually innovates new products and nicotine delivery methods, undermining regulation and targeting susceptible young adult populations.  </w:t>
      </w:r>
    </w:p>
    <w:p w14:paraId="00000008"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0000009"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Nicotine-Free Generation:</w:t>
      </w:r>
      <w:r>
        <w:rPr>
          <w:rFonts w:ascii="Times New Roman" w:eastAsia="Times New Roman" w:hAnsi="Times New Roman" w:cs="Times New Roman"/>
          <w:sz w:val="21"/>
          <w:szCs w:val="21"/>
        </w:rPr>
        <w:t xml:space="preserve">   </w:t>
      </w:r>
    </w:p>
    <w:p w14:paraId="0000000A"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Nicotine-Free Generation (NFG) proposes a definitive, streamlined approach to tobacco control. NFG policy prohibits the sale of nicotine products to anyone born after a chosen date (e.g. January 1, 2004). Those born before this date, who currently use nicotine, may be sold products indefinitely. The policy prevents sales to the next generation, phasing out sales slowly over time.   </w:t>
      </w:r>
    </w:p>
    <w:p w14:paraId="0000000B"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 </w:t>
      </w:r>
    </w:p>
    <w:p w14:paraId="0000000C" w14:textId="77777777" w:rsidR="00A14AB1" w:rsidRDefault="001F1FDE">
      <w:pPr>
        <w:shd w:val="clear" w:color="auto" w:fill="FFFFFF"/>
        <w:rPr>
          <w:rFonts w:ascii="Times New Roman" w:eastAsia="Times New Roman" w:hAnsi="Times New Roman" w:cs="Times New Roman"/>
          <w:sz w:val="21"/>
          <w:szCs w:val="21"/>
        </w:rPr>
      </w:pPr>
      <w:r>
        <w:rPr>
          <w:rFonts w:ascii="Times New Roman" w:eastAsia="Times New Roman" w:hAnsi="Times New Roman" w:cs="Times New Roman"/>
          <w:b/>
          <w:sz w:val="21"/>
          <w:szCs w:val="21"/>
          <w:u w:val="single"/>
        </w:rPr>
        <w:t>NFG:</w:t>
      </w:r>
      <w:r>
        <w:rPr>
          <w:rFonts w:ascii="Times New Roman" w:eastAsia="Times New Roman" w:hAnsi="Times New Roman" w:cs="Times New Roman"/>
          <w:sz w:val="21"/>
          <w:szCs w:val="21"/>
        </w:rPr>
        <w:t xml:space="preserve">   </w:t>
      </w:r>
    </w:p>
    <w:p w14:paraId="0000000D" w14:textId="77777777" w:rsidR="00A14AB1" w:rsidRDefault="001F1FDE">
      <w:pPr>
        <w:numPr>
          <w:ilvl w:val="0"/>
          <w:numId w:val="5"/>
        </w:numPr>
        <w:ind w:left="820"/>
        <w:rPr>
          <w:rFonts w:ascii="Times New Roman" w:eastAsia="Times New Roman" w:hAnsi="Times New Roman" w:cs="Times New Roman"/>
        </w:rPr>
      </w:pPr>
      <w:r>
        <w:rPr>
          <w:rFonts w:ascii="Times New Roman" w:eastAsia="Times New Roman" w:hAnsi="Times New Roman" w:cs="Times New Roman"/>
          <w:b/>
          <w:sz w:val="21"/>
          <w:szCs w:val="21"/>
          <w:u w:val="single"/>
        </w:rPr>
        <w:t>Respects the rights of users:</w:t>
      </w:r>
      <w:r>
        <w:rPr>
          <w:rFonts w:ascii="Times New Roman" w:eastAsia="Times New Roman" w:hAnsi="Times New Roman" w:cs="Times New Roman"/>
          <w:sz w:val="21"/>
          <w:szCs w:val="21"/>
        </w:rPr>
        <w:t xml:space="preserve"> Those who already use nicotine products can continue to be sold nicotine indefinitely. NFG doesn't shame or stigmatize users.   </w:t>
      </w:r>
    </w:p>
    <w:p w14:paraId="0000000E" w14:textId="77777777" w:rsidR="00A14AB1" w:rsidRDefault="001F1FDE">
      <w:pPr>
        <w:numPr>
          <w:ilvl w:val="0"/>
          <w:numId w:val="1"/>
        </w:numPr>
        <w:ind w:left="820"/>
        <w:rPr>
          <w:rFonts w:ascii="Times New Roman" w:eastAsia="Times New Roman" w:hAnsi="Times New Roman" w:cs="Times New Roman"/>
        </w:rPr>
      </w:pPr>
      <w:r>
        <w:rPr>
          <w:rFonts w:ascii="Times New Roman" w:eastAsia="Times New Roman" w:hAnsi="Times New Roman" w:cs="Times New Roman"/>
          <w:b/>
          <w:sz w:val="21"/>
          <w:szCs w:val="21"/>
          <w:u w:val="single"/>
        </w:rPr>
        <w:t>Considers retailer needs:</w:t>
      </w:r>
      <w:r>
        <w:rPr>
          <w:rFonts w:ascii="Times New Roman" w:eastAsia="Times New Roman" w:hAnsi="Times New Roman" w:cs="Times New Roman"/>
          <w:b/>
          <w:sz w:val="21"/>
          <w:szCs w:val="21"/>
        </w:rPr>
        <w:t xml:space="preserve"> </w:t>
      </w:r>
      <w:r>
        <w:rPr>
          <w:rFonts w:ascii="Times New Roman" w:eastAsia="Times New Roman" w:hAnsi="Times New Roman" w:cs="Times New Roman"/>
          <w:sz w:val="21"/>
          <w:szCs w:val="21"/>
        </w:rPr>
        <w:t>NFG is gradual, providing retailers time to adjust their business model so it does not depend on selling a deadly, addictive product</w:t>
      </w:r>
      <w:r>
        <w:rPr>
          <w:rFonts w:ascii="Times New Roman" w:eastAsia="Times New Roman" w:hAnsi="Times New Roman" w:cs="Times New Roman"/>
          <w:color w:val="202124"/>
          <w:sz w:val="21"/>
          <w:szCs w:val="21"/>
        </w:rPr>
        <w:t xml:space="preserve">—the market declines only marginally each year.   </w:t>
      </w:r>
    </w:p>
    <w:p w14:paraId="0000000F" w14:textId="77777777" w:rsidR="00A14AB1" w:rsidRDefault="001F1FDE">
      <w:pPr>
        <w:numPr>
          <w:ilvl w:val="0"/>
          <w:numId w:val="3"/>
        </w:numPr>
        <w:ind w:left="820"/>
        <w:rPr>
          <w:rFonts w:ascii="Times New Roman" w:eastAsia="Times New Roman" w:hAnsi="Times New Roman" w:cs="Times New Roman"/>
        </w:rPr>
      </w:pPr>
      <w:r>
        <w:rPr>
          <w:rFonts w:ascii="Times New Roman" w:eastAsia="Times New Roman" w:hAnsi="Times New Roman" w:cs="Times New Roman"/>
          <w:b/>
          <w:color w:val="202124"/>
          <w:sz w:val="21"/>
          <w:szCs w:val="21"/>
          <w:u w:val="single"/>
        </w:rPr>
        <w:t>Is socially reinforcing:</w:t>
      </w:r>
      <w:r>
        <w:rPr>
          <w:rFonts w:ascii="Times New Roman" w:eastAsia="Times New Roman" w:hAnsi="Times New Roman" w:cs="Times New Roman"/>
          <w:b/>
          <w:color w:val="202124"/>
          <w:sz w:val="21"/>
          <w:szCs w:val="21"/>
        </w:rPr>
        <w:t xml:space="preserve"> </w:t>
      </w:r>
      <w:r>
        <w:rPr>
          <w:rFonts w:ascii="Times New Roman" w:eastAsia="Times New Roman" w:hAnsi="Times New Roman" w:cs="Times New Roman"/>
          <w:color w:val="202124"/>
          <w:sz w:val="21"/>
          <w:szCs w:val="21"/>
        </w:rPr>
        <w:t xml:space="preserve">Over time, teens and young adults will be further removed in age from those who can be sold nicotine, decreasing early nicotine initiation that sparks lifelong addiction.   </w:t>
      </w:r>
    </w:p>
    <w:p w14:paraId="00000010" w14:textId="7152B2D2" w:rsidR="00A14AB1" w:rsidRDefault="001F1FDE">
      <w:pPr>
        <w:numPr>
          <w:ilvl w:val="0"/>
          <w:numId w:val="6"/>
        </w:numPr>
        <w:ind w:left="820"/>
        <w:rPr>
          <w:rFonts w:ascii="Times New Roman" w:eastAsia="Times New Roman" w:hAnsi="Times New Roman" w:cs="Times New Roman"/>
        </w:rPr>
      </w:pPr>
      <w:r>
        <w:rPr>
          <w:rFonts w:ascii="Times New Roman" w:eastAsia="Times New Roman" w:hAnsi="Times New Roman" w:cs="Times New Roman"/>
          <w:b/>
          <w:color w:val="202124"/>
          <w:sz w:val="21"/>
          <w:szCs w:val="21"/>
          <w:u w:val="single"/>
        </w:rPr>
        <w:t>Accounts for personal rights and freedoms:</w:t>
      </w:r>
      <w:hyperlink r:id="rId9">
        <w:r>
          <w:rPr>
            <w:rFonts w:ascii="Times New Roman" w:eastAsia="Times New Roman" w:hAnsi="Times New Roman" w:cs="Times New Roman"/>
            <w:color w:val="202124"/>
            <w:sz w:val="21"/>
            <w:szCs w:val="21"/>
          </w:rPr>
          <w:t xml:space="preserve"> The Massachusetts Supreme Court unanimously upheld the policy</w:t>
        </w:r>
      </w:hyperlink>
      <w:r>
        <w:rPr>
          <w:rFonts w:ascii="Times New Roman" w:eastAsia="Times New Roman" w:hAnsi="Times New Roman" w:cs="Times New Roman"/>
          <w:color w:val="202124"/>
          <w:sz w:val="21"/>
          <w:szCs w:val="21"/>
        </w:rPr>
        <w:t xml:space="preserve"> in Brookline.</w:t>
      </w:r>
      <w:r>
        <w:rPr>
          <w:rFonts w:ascii="Times New Roman" w:eastAsia="Times New Roman" w:hAnsi="Times New Roman" w:cs="Times New Roman"/>
          <w:color w:val="202124"/>
          <w:sz w:val="26"/>
          <w:szCs w:val="26"/>
          <w:vertAlign w:val="superscript"/>
        </w:rPr>
        <w:t>IV</w:t>
      </w:r>
      <w:r>
        <w:rPr>
          <w:rFonts w:ascii="Times New Roman" w:eastAsia="Times New Roman" w:hAnsi="Times New Roman" w:cs="Times New Roman"/>
          <w:color w:val="202124"/>
          <w:sz w:val="21"/>
          <w:szCs w:val="21"/>
        </w:rPr>
        <w:t xml:space="preserve"> Like asbestos or lead paint, selling tobacco is not a constitutional right. The purchase, use, or possession of tobacco </w:t>
      </w:r>
      <w:r>
        <w:rPr>
          <w:rFonts w:ascii="Times New Roman" w:eastAsia="Times New Roman" w:hAnsi="Times New Roman" w:cs="Times New Roman"/>
          <w:sz w:val="21"/>
          <w:szCs w:val="21"/>
        </w:rPr>
        <w:t xml:space="preserve">is </w:t>
      </w:r>
      <w:r>
        <w:rPr>
          <w:rFonts w:ascii="Times New Roman" w:eastAsia="Times New Roman" w:hAnsi="Times New Roman" w:cs="Times New Roman"/>
          <w:color w:val="202124"/>
          <w:sz w:val="21"/>
          <w:szCs w:val="21"/>
        </w:rPr>
        <w:t xml:space="preserve">never criminalized. </w:t>
      </w:r>
      <w:r w:rsidR="00526EFC">
        <w:rPr>
          <w:rFonts w:ascii="Times New Roman" w:eastAsia="Times New Roman" w:hAnsi="Times New Roman" w:cs="Times New Roman"/>
          <w:color w:val="202124"/>
          <w:sz w:val="21"/>
          <w:szCs w:val="21"/>
        </w:rPr>
        <w:t>Tobacco dependence</w:t>
      </w:r>
      <w:r w:rsidR="00D54948">
        <w:rPr>
          <w:rFonts w:ascii="Times New Roman" w:eastAsia="Times New Roman" w:hAnsi="Times New Roman" w:cs="Times New Roman"/>
          <w:color w:val="202124"/>
          <w:sz w:val="21"/>
          <w:szCs w:val="21"/>
        </w:rPr>
        <w:t xml:space="preserve"> means the loss of free choice</w:t>
      </w:r>
      <w:r w:rsidR="00526EFC">
        <w:rPr>
          <w:rFonts w:ascii="Times New Roman" w:eastAsia="Times New Roman" w:hAnsi="Times New Roman" w:cs="Times New Roman"/>
          <w:color w:val="202124"/>
          <w:sz w:val="21"/>
          <w:szCs w:val="21"/>
        </w:rPr>
        <w:t xml:space="preserve"> and freedom--</w:t>
      </w:r>
      <w:r w:rsidR="00D54948">
        <w:rPr>
          <w:rFonts w:ascii="Times New Roman" w:eastAsia="Times New Roman" w:hAnsi="Times New Roman" w:cs="Times New Roman"/>
          <w:color w:val="202124"/>
          <w:sz w:val="21"/>
          <w:szCs w:val="21"/>
        </w:rPr>
        <w:t>a</w:t>
      </w:r>
      <w:r w:rsidR="00D54948">
        <w:rPr>
          <w:rFonts w:ascii="Times New Roman" w:eastAsia="Times New Roman" w:hAnsi="Times New Roman" w:cs="Times New Roman"/>
          <w:color w:val="202124"/>
          <w:sz w:val="21"/>
          <w:szCs w:val="21"/>
        </w:rPr>
        <w:t>lmost all tobacco users wish they</w:t>
      </w:r>
      <w:r w:rsidR="00D54948">
        <w:rPr>
          <w:rFonts w:ascii="Times New Roman" w:eastAsia="Times New Roman" w:hAnsi="Times New Roman" w:cs="Times New Roman"/>
          <w:color w:val="202124"/>
          <w:sz w:val="21"/>
          <w:szCs w:val="21"/>
        </w:rPr>
        <w:t xml:space="preserve">’d </w:t>
      </w:r>
      <w:r w:rsidR="00D54948">
        <w:rPr>
          <w:rFonts w:ascii="Times New Roman" w:eastAsia="Times New Roman" w:hAnsi="Times New Roman" w:cs="Times New Roman"/>
          <w:color w:val="202124"/>
          <w:sz w:val="21"/>
          <w:szCs w:val="21"/>
        </w:rPr>
        <w:t>never started.</w:t>
      </w:r>
      <w:r w:rsidR="00D54948">
        <w:rPr>
          <w:rFonts w:ascii="Times New Roman" w:eastAsia="Times New Roman" w:hAnsi="Times New Roman" w:cs="Times New Roman"/>
          <w:color w:val="202124"/>
          <w:sz w:val="21"/>
          <w:szCs w:val="21"/>
        </w:rPr>
        <w:t xml:space="preserve"> </w:t>
      </w:r>
      <w:r>
        <w:rPr>
          <w:rFonts w:ascii="Times New Roman" w:eastAsia="Times New Roman" w:hAnsi="Times New Roman" w:cs="Times New Roman"/>
          <w:color w:val="202124"/>
          <w:sz w:val="21"/>
          <w:szCs w:val="21"/>
        </w:rPr>
        <w:t xml:space="preserve"> </w:t>
      </w:r>
    </w:p>
    <w:p w14:paraId="00000011" w14:textId="77777777" w:rsidR="00A14AB1" w:rsidRDefault="001F1FDE">
      <w:pPr>
        <w:numPr>
          <w:ilvl w:val="0"/>
          <w:numId w:val="7"/>
        </w:numPr>
        <w:ind w:left="820"/>
        <w:rPr>
          <w:rFonts w:ascii="Times New Roman" w:eastAsia="Times New Roman" w:hAnsi="Times New Roman" w:cs="Times New Roman"/>
        </w:rPr>
      </w:pPr>
      <w:r>
        <w:rPr>
          <w:rFonts w:ascii="Times New Roman" w:eastAsia="Times New Roman" w:hAnsi="Times New Roman" w:cs="Times New Roman"/>
          <w:b/>
          <w:color w:val="202124"/>
          <w:sz w:val="21"/>
          <w:szCs w:val="21"/>
          <w:u w:val="single"/>
        </w:rPr>
        <w:t>Provides a smooth transition:</w:t>
      </w:r>
      <w:r>
        <w:rPr>
          <w:rFonts w:ascii="Times New Roman" w:eastAsia="Times New Roman" w:hAnsi="Times New Roman" w:cs="Times New Roman"/>
          <w:color w:val="202124"/>
          <w:sz w:val="21"/>
          <w:szCs w:val="21"/>
        </w:rPr>
        <w:t xml:space="preserve"> NFG avoids black market sales, as current dependent users are never cut off from legal nicotine access. Additionally, NFG curtails future demand by preventing the next generation from becoming addicted.   </w:t>
      </w:r>
    </w:p>
    <w:p w14:paraId="00000012" w14:textId="22855D96" w:rsidR="00A14AB1" w:rsidRDefault="001F1FDE">
      <w:pPr>
        <w:numPr>
          <w:ilvl w:val="0"/>
          <w:numId w:val="2"/>
        </w:numPr>
        <w:ind w:left="820"/>
        <w:rPr>
          <w:rFonts w:ascii="Times New Roman" w:eastAsia="Times New Roman" w:hAnsi="Times New Roman" w:cs="Times New Roman"/>
        </w:rPr>
      </w:pPr>
      <w:r>
        <w:rPr>
          <w:rFonts w:ascii="Times New Roman" w:eastAsia="Times New Roman" w:hAnsi="Times New Roman" w:cs="Times New Roman"/>
          <w:b/>
          <w:color w:val="202124"/>
          <w:sz w:val="21"/>
          <w:szCs w:val="21"/>
          <w:u w:val="single"/>
        </w:rPr>
        <w:t>Comes at the right time and place:</w:t>
      </w:r>
      <w:r>
        <w:rPr>
          <w:rFonts w:ascii="Times New Roman" w:eastAsia="Times New Roman" w:hAnsi="Times New Roman" w:cs="Times New Roman"/>
          <w:color w:val="202124"/>
          <w:sz w:val="21"/>
          <w:szCs w:val="21"/>
        </w:rPr>
        <w:t xml:space="preserve"> NFG policy is spreading quickly</w:t>
      </w:r>
      <w:r>
        <w:rPr>
          <w:rFonts w:ascii="Times New Roman" w:eastAsia="Times New Roman" w:hAnsi="Times New Roman" w:cs="Times New Roman"/>
          <w:color w:val="202124"/>
          <w:sz w:val="21"/>
          <w:szCs w:val="21"/>
        </w:rPr>
        <w:t xml:space="preserve"> and has already been adopted by </w:t>
      </w:r>
      <w:r w:rsidR="00D54948">
        <w:rPr>
          <w:rFonts w:ascii="Times New Roman" w:eastAsia="Times New Roman" w:hAnsi="Times New Roman" w:cs="Times New Roman"/>
          <w:color w:val="202124"/>
          <w:sz w:val="21"/>
          <w:szCs w:val="21"/>
        </w:rPr>
        <w:t>nine</w:t>
      </w:r>
      <w:r>
        <w:rPr>
          <w:rFonts w:ascii="Times New Roman" w:eastAsia="Times New Roman" w:hAnsi="Times New Roman" w:cs="Times New Roman"/>
          <w:color w:val="202124"/>
          <w:sz w:val="21"/>
          <w:szCs w:val="21"/>
        </w:rPr>
        <w:t xml:space="preserve"> Massachusetts towns. MA has led the country in spearheading nicotine policies such as flavor restrictions and minimum sales age of 21. Many places are meaningfully considering NFG, including other jurisdictions in the US and the countries of UK, EU, Malaysia, Singapore, Ireland, Denmark, France, Spain, and Canada. </w:t>
      </w:r>
    </w:p>
    <w:p w14:paraId="00000015" w14:textId="23C4113B" w:rsidR="00A14AB1" w:rsidRPr="00526EFC" w:rsidRDefault="001F1FDE" w:rsidP="00526EFC">
      <w:pPr>
        <w:numPr>
          <w:ilvl w:val="0"/>
          <w:numId w:val="4"/>
        </w:numPr>
        <w:ind w:left="820"/>
        <w:rPr>
          <w:rFonts w:ascii="Times New Roman" w:eastAsia="Times New Roman" w:hAnsi="Times New Roman" w:cs="Times New Roman"/>
        </w:rPr>
      </w:pPr>
      <w:r>
        <w:rPr>
          <w:rFonts w:ascii="Times New Roman" w:eastAsia="Times New Roman" w:hAnsi="Times New Roman" w:cs="Times New Roman"/>
          <w:b/>
          <w:color w:val="202124"/>
          <w:sz w:val="21"/>
          <w:szCs w:val="21"/>
          <w:u w:val="single"/>
        </w:rPr>
        <w:t>Opposed strongly by Big Tobacco:</w:t>
      </w:r>
      <w:r>
        <w:rPr>
          <w:rFonts w:ascii="Times New Roman" w:eastAsia="Times New Roman" w:hAnsi="Times New Roman" w:cs="Times New Roman"/>
          <w:sz w:val="21"/>
          <w:szCs w:val="21"/>
        </w:rPr>
        <w:t xml:space="preserve"> Will</w:t>
      </w:r>
      <w:r>
        <w:rPr>
          <w:rFonts w:ascii="Times New Roman" w:eastAsia="Times New Roman" w:hAnsi="Times New Roman" w:cs="Times New Roman"/>
          <w:sz w:val="21"/>
          <w:szCs w:val="21"/>
        </w:rPr>
        <w:t xml:space="preserve"> </w:t>
      </w:r>
      <w:r w:rsidR="00D54948">
        <w:rPr>
          <w:rFonts w:ascii="Times New Roman" w:eastAsia="Times New Roman" w:hAnsi="Times New Roman" w:cs="Times New Roman"/>
          <w:sz w:val="21"/>
          <w:szCs w:val="21"/>
        </w:rPr>
        <w:t xml:space="preserve">reduce </w:t>
      </w:r>
      <w:r>
        <w:rPr>
          <w:rFonts w:ascii="Times New Roman" w:eastAsia="Times New Roman" w:hAnsi="Times New Roman" w:cs="Times New Roman"/>
          <w:sz w:val="21"/>
          <w:szCs w:val="21"/>
        </w:rPr>
        <w:t>sales</w:t>
      </w:r>
      <w:r w:rsidR="00526EFC">
        <w:rPr>
          <w:rFonts w:ascii="Times New Roman" w:eastAsia="Times New Roman" w:hAnsi="Times New Roman" w:cs="Times New Roman"/>
          <w:sz w:val="21"/>
          <w:szCs w:val="21"/>
        </w:rPr>
        <w:t xml:space="preserve"> over time</w:t>
      </w:r>
      <w:r>
        <w:rPr>
          <w:rFonts w:ascii="Times New Roman" w:eastAsia="Times New Roman" w:hAnsi="Times New Roman" w:cs="Times New Roman"/>
          <w:sz w:val="21"/>
          <w:szCs w:val="21"/>
        </w:rPr>
        <w:t>,</w:t>
      </w:r>
      <w:r>
        <w:rPr>
          <w:rFonts w:ascii="Times New Roman" w:eastAsia="Times New Roman" w:hAnsi="Times New Roman" w:cs="Times New Roman"/>
          <w:sz w:val="21"/>
          <w:szCs w:val="21"/>
        </w:rPr>
        <w:t xml:space="preserve"> and improve public health. </w:t>
      </w:r>
    </w:p>
    <w:sectPr w:rsidR="00A14AB1" w:rsidRPr="00526EFC">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BFF8A" w14:textId="77777777" w:rsidR="001F1FDE" w:rsidRDefault="001F1FDE">
      <w:pPr>
        <w:spacing w:line="240" w:lineRule="auto"/>
      </w:pPr>
      <w:r>
        <w:separator/>
      </w:r>
    </w:p>
  </w:endnote>
  <w:endnote w:type="continuationSeparator" w:id="0">
    <w:p w14:paraId="7EEA42F0" w14:textId="77777777" w:rsidR="001F1FDE" w:rsidRDefault="001F1F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16" w14:textId="77777777" w:rsidR="00A14AB1" w:rsidRDefault="001F1FDE">
    <w:pPr>
      <w:pBdr>
        <w:top w:val="single" w:sz="5" w:space="2" w:color="000000"/>
      </w:pBdr>
      <w:shd w:val="clear" w:color="auto" w:fill="FFFFFF"/>
      <w:spacing w:before="60"/>
      <w:rPr>
        <w:rFonts w:ascii="Times New Roman" w:eastAsia="Times New Roman" w:hAnsi="Times New Roman" w:cs="Times New Roman"/>
        <w:sz w:val="14"/>
        <w:szCs w:val="14"/>
      </w:rPr>
    </w:pPr>
    <w:r>
      <w:rPr>
        <w:rFonts w:ascii="Times New Roman" w:eastAsia="Times New Roman" w:hAnsi="Times New Roman" w:cs="Times New Roman"/>
        <w:sz w:val="24"/>
        <w:szCs w:val="24"/>
        <w:vertAlign w:val="superscript"/>
      </w:rPr>
      <w:t xml:space="preserve">I </w:t>
    </w:r>
    <w:r>
      <w:rPr>
        <w:rFonts w:ascii="Times New Roman" w:eastAsia="Times New Roman" w:hAnsi="Times New Roman" w:cs="Times New Roman"/>
        <w:sz w:val="18"/>
        <w:szCs w:val="18"/>
      </w:rPr>
      <w:t xml:space="preserve"> </w:t>
    </w:r>
    <w:r>
      <w:rPr>
        <w:rFonts w:ascii="Times New Roman" w:eastAsia="Times New Roman" w:hAnsi="Times New Roman" w:cs="Times New Roman"/>
        <w:sz w:val="14"/>
        <w:szCs w:val="14"/>
      </w:rPr>
      <w:t xml:space="preserve">Campaign for Tobacco-Free Kids, “The Toll of Tobacco in Massachusetts,” April 17, 2024, https://www.tobaccofreekids.org/problem/ toll-us/massachusetts. </w:t>
    </w:r>
  </w:p>
  <w:p w14:paraId="00000017" w14:textId="77777777" w:rsidR="00A14AB1" w:rsidRDefault="001F1FDE">
    <w:pPr>
      <w:shd w:val="clear" w:color="auto" w:fill="FFFFFF"/>
      <w:rPr>
        <w:rFonts w:ascii="Times New Roman" w:eastAsia="Times New Roman" w:hAnsi="Times New Roman" w:cs="Times New Roman"/>
        <w:color w:val="202124"/>
        <w:sz w:val="14"/>
        <w:szCs w:val="14"/>
      </w:rPr>
    </w:pPr>
    <w:r>
      <w:rPr>
        <w:rFonts w:ascii="Times New Roman" w:eastAsia="Times New Roman" w:hAnsi="Times New Roman" w:cs="Times New Roman"/>
        <w:sz w:val="24"/>
        <w:szCs w:val="24"/>
        <w:vertAlign w:val="superscript"/>
      </w:rPr>
      <w:t>II</w:t>
    </w:r>
    <w:r>
      <w:rPr>
        <w:rFonts w:ascii="Times New Roman" w:eastAsia="Times New Roman" w:hAnsi="Times New Roman" w:cs="Times New Roman"/>
        <w:sz w:val="18"/>
        <w:szCs w:val="18"/>
      </w:rPr>
      <w:t xml:space="preserve"> </w:t>
    </w:r>
    <w:r>
      <w:rPr>
        <w:rFonts w:ascii="Times New Roman" w:eastAsia="Times New Roman" w:hAnsi="Times New Roman" w:cs="Times New Roman"/>
        <w:color w:val="202124"/>
        <w:sz w:val="14"/>
        <w:szCs w:val="14"/>
      </w:rPr>
      <w:t xml:space="preserve">World Health Organization, “Tobacco,” July 31, 2023, https://www.who.int/news-room/fact-sheets/detail/tobacco. </w:t>
    </w:r>
  </w:p>
  <w:p w14:paraId="00000018" w14:textId="77777777" w:rsidR="00A14AB1" w:rsidRDefault="001F1FDE">
    <w:pPr>
      <w:shd w:val="clear" w:color="auto" w:fill="FFFFFF"/>
      <w:rPr>
        <w:rFonts w:ascii="Times New Roman" w:eastAsia="Times New Roman" w:hAnsi="Times New Roman" w:cs="Times New Roman"/>
        <w:sz w:val="14"/>
        <w:szCs w:val="14"/>
      </w:rPr>
    </w:pPr>
    <w:r>
      <w:rPr>
        <w:rFonts w:ascii="Times New Roman" w:eastAsia="Times New Roman" w:hAnsi="Times New Roman" w:cs="Times New Roman"/>
        <w:color w:val="202124"/>
        <w:sz w:val="24"/>
        <w:szCs w:val="24"/>
        <w:vertAlign w:val="superscript"/>
      </w:rPr>
      <w:t xml:space="preserve">III </w:t>
    </w:r>
    <w:r>
      <w:rPr>
        <w:rFonts w:ascii="Times New Roman" w:eastAsia="Times New Roman" w:hAnsi="Times New Roman" w:cs="Times New Roman"/>
        <w:sz w:val="14"/>
        <w:szCs w:val="14"/>
      </w:rPr>
      <w:t xml:space="preserve">Centers for Disease Control and Prevention, “Health Effects of Cigarette Smoking,” October 29, 2011, https://www.cdc.gov/tobacco/data_statistics/fact_sheets/health_effects/effects_cig_smoking. </w:t>
    </w:r>
  </w:p>
  <w:p w14:paraId="00000019" w14:textId="77777777" w:rsidR="00A14AB1" w:rsidRDefault="001F1FDE">
    <w:pPr>
      <w:shd w:val="clear" w:color="auto" w:fill="FFFFFF"/>
      <w:rPr>
        <w:rFonts w:ascii="Times New Roman" w:eastAsia="Times New Roman" w:hAnsi="Times New Roman" w:cs="Times New Roman"/>
        <w:color w:val="202124"/>
        <w:sz w:val="14"/>
        <w:szCs w:val="14"/>
      </w:rPr>
    </w:pPr>
    <w:r>
      <w:rPr>
        <w:rFonts w:ascii="Times New Roman" w:eastAsia="Times New Roman" w:hAnsi="Times New Roman" w:cs="Times New Roman"/>
        <w:sz w:val="24"/>
        <w:szCs w:val="24"/>
        <w:vertAlign w:val="superscript"/>
      </w:rPr>
      <w:t xml:space="preserve">IV </w:t>
    </w:r>
    <w:r>
      <w:rPr>
        <w:rFonts w:ascii="Times New Roman" w:eastAsia="Times New Roman" w:hAnsi="Times New Roman" w:cs="Times New Roman"/>
        <w:sz w:val="14"/>
        <w:szCs w:val="14"/>
      </w:rPr>
      <w:t>Action on Smoking and Health,</w:t>
    </w:r>
    <w:r>
      <w:rPr>
        <w:rFonts w:ascii="Times New Roman" w:eastAsia="Times New Roman" w:hAnsi="Times New Roman" w:cs="Times New Roman"/>
        <w:color w:val="202124"/>
        <w:sz w:val="14"/>
        <w:szCs w:val="14"/>
      </w:rPr>
      <w:t xml:space="preserve"> “Massachusetts Supreme Judicial Court Upholds Tobacco-Free Generation Law,” March 8, 2024, </w:t>
    </w:r>
    <w:r>
      <w:rPr>
        <w:rFonts w:ascii="Times New Roman" w:eastAsia="Times New Roman" w:hAnsi="Times New Roman" w:cs="Times New Roman"/>
        <w:sz w:val="14"/>
        <w:szCs w:val="14"/>
      </w:rPr>
      <w:t>https://ash.org/massachusetts-supreme-court-upholds-tobacco-free-generation-law</w:t>
    </w:r>
    <w:r>
      <w:rPr>
        <w:rFonts w:ascii="Times New Roman" w:eastAsia="Times New Roman" w:hAnsi="Times New Roman" w:cs="Times New Roman"/>
        <w:color w:val="202124"/>
        <w:sz w:val="14"/>
        <w:szCs w:val="14"/>
      </w:rPr>
      <w:t xml:space="preserve">. </w:t>
    </w:r>
  </w:p>
  <w:p w14:paraId="0000001A" w14:textId="7A90DD43" w:rsidR="00A14AB1" w:rsidRDefault="001F1FDE">
    <w:pPr>
      <w:shd w:val="clear" w:color="auto" w:fill="FFFFFF"/>
      <w:rPr>
        <w:rFonts w:ascii="Times New Roman" w:eastAsia="Times New Roman" w:hAnsi="Times New Roman" w:cs="Times New Roman"/>
        <w:color w:val="202124"/>
        <w:sz w:val="14"/>
        <w:szCs w:val="14"/>
      </w:rPr>
    </w:pPr>
    <w:r>
      <w:rPr>
        <w:rFonts w:ascii="Times New Roman" w:eastAsia="Times New Roman" w:hAnsi="Times New Roman" w:cs="Times New Roman"/>
        <w:color w:val="202124"/>
        <w:sz w:val="14"/>
        <w:szCs w:val="14"/>
      </w:rPr>
      <w:t>Citation: Savage T, Chadwick G, Winickoff JP. Nicotine Free Generation One-Page Overview. Version 1027</w:t>
    </w:r>
    <w:r>
      <w:rPr>
        <w:rFonts w:ascii="Times New Roman" w:eastAsia="Times New Roman" w:hAnsi="Times New Roman" w:cs="Times New Roman"/>
        <w:color w:val="202124"/>
        <w:sz w:val="14"/>
        <w:szCs w:val="14"/>
      </w:rPr>
      <w:t xml:space="preserve">2024 </w:t>
    </w:r>
  </w:p>
  <w:p w14:paraId="0000001B" w14:textId="77777777" w:rsidR="00A14AB1" w:rsidRDefault="00A14AB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41216" w14:textId="77777777" w:rsidR="001F1FDE" w:rsidRDefault="001F1FDE">
      <w:pPr>
        <w:spacing w:line="240" w:lineRule="auto"/>
      </w:pPr>
      <w:r>
        <w:separator/>
      </w:r>
    </w:p>
  </w:footnote>
  <w:footnote w:type="continuationSeparator" w:id="0">
    <w:p w14:paraId="6D875432" w14:textId="77777777" w:rsidR="001F1FDE" w:rsidRDefault="001F1FD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E67945"/>
    <w:multiLevelType w:val="multilevel"/>
    <w:tmpl w:val="4D3A3C8E"/>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DB35ACE"/>
    <w:multiLevelType w:val="multilevel"/>
    <w:tmpl w:val="C8A84848"/>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F772F10"/>
    <w:multiLevelType w:val="multilevel"/>
    <w:tmpl w:val="5A34EA38"/>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52E6897"/>
    <w:multiLevelType w:val="multilevel"/>
    <w:tmpl w:val="5596CFFA"/>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659007D0"/>
    <w:multiLevelType w:val="multilevel"/>
    <w:tmpl w:val="C1CC4CA8"/>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97F0C85"/>
    <w:multiLevelType w:val="multilevel"/>
    <w:tmpl w:val="FFBEAC32"/>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A0225E6"/>
    <w:multiLevelType w:val="multilevel"/>
    <w:tmpl w:val="4928E68A"/>
    <w:lvl w:ilvl="0">
      <w:start w:val="1"/>
      <w:numFmt w:val="bullet"/>
      <w:lvlText w:val="●"/>
      <w:lvlJc w:val="left"/>
      <w:pPr>
        <w:ind w:left="720" w:hanging="360"/>
      </w:pPr>
      <w:rPr>
        <w:rFonts w:ascii="Verdana" w:eastAsia="Verdana" w:hAnsi="Verdana" w:cs="Verdana"/>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24205328">
    <w:abstractNumId w:val="2"/>
  </w:num>
  <w:num w:numId="2" w16cid:durableId="214247050">
    <w:abstractNumId w:val="1"/>
  </w:num>
  <w:num w:numId="3" w16cid:durableId="2131050976">
    <w:abstractNumId w:val="4"/>
  </w:num>
  <w:num w:numId="4" w16cid:durableId="2081824993">
    <w:abstractNumId w:val="5"/>
  </w:num>
  <w:num w:numId="5" w16cid:durableId="818300738">
    <w:abstractNumId w:val="3"/>
  </w:num>
  <w:num w:numId="6" w16cid:durableId="1337460877">
    <w:abstractNumId w:val="0"/>
  </w:num>
  <w:num w:numId="7" w16cid:durableId="12277624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4AB1"/>
    <w:rsid w:val="001F1FDE"/>
    <w:rsid w:val="00526EFC"/>
    <w:rsid w:val="00A14AB1"/>
    <w:rsid w:val="00D54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C1E99"/>
  <w15:docId w15:val="{561AF84A-5D0E-40BC-B96F-B39BDDC93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1F1FDE"/>
    <w:pPr>
      <w:tabs>
        <w:tab w:val="center" w:pos="4680"/>
        <w:tab w:val="right" w:pos="9360"/>
      </w:tabs>
      <w:spacing w:line="240" w:lineRule="auto"/>
    </w:pPr>
  </w:style>
  <w:style w:type="character" w:customStyle="1" w:styleId="HeaderChar">
    <w:name w:val="Header Char"/>
    <w:basedOn w:val="DefaultParagraphFont"/>
    <w:link w:val="Header"/>
    <w:uiPriority w:val="99"/>
    <w:rsid w:val="001F1FDE"/>
  </w:style>
  <w:style w:type="paragraph" w:styleId="Footer">
    <w:name w:val="footer"/>
    <w:basedOn w:val="Normal"/>
    <w:link w:val="FooterChar"/>
    <w:uiPriority w:val="99"/>
    <w:unhideWhenUsed/>
    <w:rsid w:val="001F1FDE"/>
    <w:pPr>
      <w:tabs>
        <w:tab w:val="center" w:pos="4680"/>
        <w:tab w:val="right" w:pos="9360"/>
      </w:tabs>
      <w:spacing w:line="240" w:lineRule="auto"/>
    </w:pPr>
  </w:style>
  <w:style w:type="character" w:customStyle="1" w:styleId="FooterChar">
    <w:name w:val="Footer Char"/>
    <w:basedOn w:val="DefaultParagraphFont"/>
    <w:link w:val="Footer"/>
    <w:uiPriority w:val="99"/>
    <w:rsid w:val="001F1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dc.gov/tobacco/data_statistics/fact_sheets/health_effects/effects_cig_smoking/index.htm" TargetMode="External"/><Relationship Id="rId3" Type="http://schemas.openxmlformats.org/officeDocument/2006/relationships/settings" Target="settings.xml"/><Relationship Id="rId7" Type="http://schemas.openxmlformats.org/officeDocument/2006/relationships/hyperlink" Target="https://www.who.int/news-room/fact-sheets/detail/tobac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sh.org/massachusetts-supreme-court-upholds-tobacco-free-generation-la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508</Words>
  <Characters>2901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Winickoff, Jonathan P.,MD, MPH</dc:creator>
  <cp:lastModifiedBy>Winickoff, Jonathan P.,MD, MPH</cp:lastModifiedBy>
  <cp:revision>3</cp:revision>
  <dcterms:created xsi:type="dcterms:W3CDTF">2024-10-27T18:54:00Z</dcterms:created>
  <dcterms:modified xsi:type="dcterms:W3CDTF">2024-10-27T18:55:00Z</dcterms:modified>
</cp:coreProperties>
</file>